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Brida fija y suelta de dos niveles</w:t>
      </w:r>
    </w:p>
    <w:p>
      <w:pPr/>
      <w:r>
        <w:rPr/>
        <w:t xml:space="preserve">para hormigonado</w:t>
      </w:r>
    </w:p>
    <w:p>
      <w:pPr/>
      <w:r>
        <w:rPr/>
        <w:t xml:space="preserve">Casquillo de pared con 2 bridas fijas/sueltas para el hormigonado de tejados planos aislados con dos capas impermeables según la norma DIN 18531.</w:t>
      </w:r>
    </w:p>
    <w:p/>
    <w:p>
      <w:pPr/>
      <w:r>
        <w:rPr/>
        <w:t xml:space="preserve">Dimensiones: Su diseño, según la norma DIN 18531, incluye: DIN 18531 (tejado), DIN 18532 (zonas accesibles al tráfico), DIN 18534 (interiores), DIN 18535 (depósitos).; Brida fija estándar con diámetro Øa correspondiente al respectivo casquillo de pared de Øi + apr. 150 mm (con un paso de tubería, consulte información detallada en el folleto)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Acero inoxidable V2A (AISI 304L) o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Brida fija y suelta de dos niveles</dc:title>
  <dc:description/>
  <dc:subject/>
  <cp:keywords/>
  <cp:category/>
  <cp:lastModifiedBy/>
  <dcterms:created xsi:type="dcterms:W3CDTF">2024-04-20T07:00:00+02:00</dcterms:created>
  <dcterms:modified xsi:type="dcterms:W3CDTF">2024-04-20T07:00:00+02:00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