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Fiksna/prigradna prirubnica s dvije razine</w:t>
      </w:r>
    </w:p>
    <w:p>
      <w:pPr/>
      <w:r>
        <w:rPr/>
        <w:t xml:space="preserve">za naknadno zatiplavanje</w:t>
      </w:r>
    </w:p>
    <w:p>
      <w:pPr/>
      <w:r>
        <w:rPr/>
        <w:t xml:space="preserve">Proturna cijev s 2 fiksne/prigradne prirubnice za zatiplavanje na izolirane ravne krovove s dvije vodootporne membrane prema DIN 18195 dio 5.</w:t>
      </w:r>
    </w:p>
    <w:p/>
    <w:p>
      <w:pPr/>
      <w:r>
        <w:rPr/>
        <w:t xml:space="preserve">Dimenzije: Konstrukcija u skladu s normom DIN 18531 obuhvaća: DIN 18531 (krov), DIN 18532 (prometne površine namijenjene kretanju vozila), DIN 18534 (zatvoreni prostori), DIN 18535 (spremnici).; Standardna fiksna prirubnica Øa odgovara proturnoj cijevi od Øi + otprilike 150 mm (u slučaju prolaza, detaljni podaci dostupni su u brošuri)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Nehrđajući čelik V2A (AISI 304L) ili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Fiksna/prigradna prirubnica s dvije razine</dc:title>
  <dc:description/>
  <dc:subject/>
  <cp:keywords/>
  <cp:category/>
  <cp:lastModifiedBy/>
  <dcterms:created xsi:type="dcterms:W3CDTF">2024-04-16T07:54:35+02:00</dcterms:created>
  <dcterms:modified xsi:type="dcterms:W3CDTF">2024-04-16T07:54:35+02:00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