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Guarnizione anulare singola</w:t>
      </w:r>
    </w:p>
    <w:p>
      <w:pPr/>
      <w:r>
        <w:rPr/>
        <w:t xml:space="preserve"/>
      </w:r>
    </w:p>
    <w:p>
      <w:pPr/>
      <w:r>
        <w:rPr/>
        <w:t xml:space="preserve"/>
      </w:r>
    </w:p>
    <w:p/>
    <w:p>
      <w:pPr/>
      <w:r>
        <w:rPr/>
        <w:t xml:space="preserve">Dimensioni: Larghezza di tenuta: 30 mm; Lastre pressopiegate: 5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Lastre pressopiegate, viti, rondelle e dadi: acciaio inox V4A (AISI 316L)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Carico: Calcestruzzo impermeabile classe di sollecitazione 1; Calcestruzzo impermeabile classe di sollecitazione 2; DIN 18533 W1.1-E; DIN 18533 W1.2-E; DIN 18533 W2.1-E; DIN 18533 W2.2-E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HRD F A4/Silikon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Guarnizione anulare singola</dc:title>
  <dc:description/>
  <dc:subject/>
  <cp:keywords/>
  <cp:category/>
  <cp:lastModifiedBy/>
  <dcterms:created xsi:type="dcterms:W3CDTF">2024-04-26T12:45:53+02:00</dcterms:created>
  <dcterms:modified xsi:type="dcterms:W3CDTF">2024-04-26T12:45:53+02:00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