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Sello redondo individual</w:t>
      </w:r>
    </w:p>
    <w:p>
      <w:pPr/>
      <w:r>
        <w:rPr/>
        <w:t xml:space="preserve"/>
      </w:r>
    </w:p>
    <w:p>
      <w:pPr/>
      <w:r>
        <w:rPr/>
        <w:t xml:space="preserve"/>
      </w:r>
    </w:p>
    <w:p/>
    <w:p>
      <w:pPr/>
      <w:r>
        <w:rPr/>
        <w:t xml:space="preserve">Dimensiones: Anchura de sellado: 60 mm; Placas de prensa: 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Placas de prensa, tornillos, arandelas y tuercas: Acero fino inoxidable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1; Hormigón a prueba de agua con clase de estrés 2; Clase de impacto de agua DIN 18533 W1.1-E; Clase de impacto de agua DIN 18533 W1.2-E; Clase de impacto de agua DIN 18533 W2.1-E; Clase de impacto de agua DIN 18533 W2.2-E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HRD F A4/Silikon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Sello redondo individual</dc:title>
  <dc:description/>
  <dc:subject/>
  <cp:keywords/>
  <cp:category/>
  <cp:lastModifiedBy/>
  <dcterms:created xsi:type="dcterms:W3CDTF">2024-04-23T15:49:18+02:00</dcterms:created>
  <dcterms:modified xsi:type="dcterms:W3CDTF">2024-04-23T15:49:18+02:00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