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Juego de extensión</w:t>
      </w:r>
    </w:p>
    <w:p>
      <w:pPr/>
      <w:r>
        <w:rPr/>
        <w:t xml:space="preserve">Para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Referencia de pedido: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Marca: Hauff-Technik</w:t>
      </w:r>
    </w:p>
    <w:p/>
    <w:p>
      <w:pPr/>
      <w:r>
        <w:rPr/>
        <w:t xml:space="preserve">Para la extensión del cuerpo base de MSH Basic FUBO SR4. Se puede realizar la extensión hasta 110 mm o 198 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Segmentos del marco del cuerpo base: ABS; Placa de anclaje del inserto de sellado: polímero reforzado con fibra de vidrio; Inserto de sellado de las tuberías: ABS con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Información del fabricante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Documentos de licitación - Juego de extensión</dc:title>
  <dc:description/>
  <dc:subject/>
  <cp:keywords/>
  <cp:category/>
  <cp:lastModifiedBy/>
  <dcterms:created xsi:type="dcterms:W3CDTF">2026-09-30T02:14:48+02:00</dcterms:created>
  <dcterms:modified xsi:type="dcterms:W3CDTF">2026-09-30T02:14:48+02:00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