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Juego de extensión</w:t>
      </w:r>
    </w:p>
    <w:p>
      <w:pPr/>
      <w:r>
        <w:rPr/>
        <w:t xml:space="preserve"/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Referencia de pedido: MSH Basic FUBO SR3 VLS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 -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Marca: Hauff-Technik</w:t>
      </w:r>
    </w:p>
    <w:p/>
    <w:p>
      <w:pPr/>
      <w:r>
        <w:rPr/>
        <w:t xml:space="preserve">Se puede realizar la extensión hasta 110 mm o 198 mm.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Material: Segmentos del marco del cuerpo base: ABS; Placa de anclaje del inserto de sellado: polímero reforzado con fibra de vidrio; Inserto de sellado de las tuberías: ABS con TPE</w:t>
      </w:r>
    </w:p>
    <w:p/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Información del fabricante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Documentos de licitación - Juego de extensión</dc:title>
  <dc:description/>
  <dc:subject/>
  <cp:keywords/>
  <cp:category/>
  <cp:lastModifiedBy/>
  <dcterms:created xsi:type="dcterms:W3CDTF">2026-05-29T23:33:45+02:00</dcterms:created>
  <dcterms:modified xsi:type="dcterms:W3CDTF">2026-05-29T23:33:45+02:00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