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Juego de extensión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Referencia de pedido: MSH Basic FUBO SR2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Marca: Hauff-Technik</w:t>
      </w:r>
    </w:p>
    <w:p/>
    <w:p>
      <w:pPr/>
      <w:r>
        <w:rPr/>
        <w:t xml:space="preserve">Se puede realizar la extensión hasta 110 mm o 198 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Material: Segmentos del marco del cuerpo base: ABS; Placa de anclaje del inserto de sellado: polímero reforzado con fibra de vidrio; Inserto de sellado de las tuberías: ABS con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Información del fabricante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Documentos de licitación - Juego de extensión</dc:title>
  <dc:description/>
  <dc:subject/>
  <cp:keywords/>
  <cp:category/>
  <cp:lastModifiedBy/>
  <dcterms:created xsi:type="dcterms:W3CDTF">2026-08-14T15:21:17+02:00</dcterms:created>
  <dcterms:modified xsi:type="dcterms:W3CDTF">2026-08-14T15:21:17+02:00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