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Fibre optic building entry</w:t>
      </w:r>
    </w:p>
    <w:p>
      <w:pPr/>
      <w:r>
        <w:rPr/>
        <w:t xml:space="preserve">for buildings without a basement</w:t>
      </w:r>
    </w:p>
    <w:p>
      <w:pPr/>
      <w:r>
        <w:rPr/>
        <w:t xml:space="preserve">For installation in all standard wall types to DIN 18533 W1.1-E, W1.2-E, W2.1-E and waterproof concrete to DIN 1045. Including 2-component resin iM3000. 1 set assembly tool (adapter for cartridge gun including dosage aid) included in each packing unit.</w:t>
      </w:r>
    </w:p>
    <w:p/>
    <w:p>
      <w:pPr/>
      <w:r>
        <w:rPr/>
        <w:t xml:space="preserve">Dimensions: Area of application: 2 fibre-optic cables with Øa 7-10 mm or 1 fibre-optic cable with Øa 6 - 13 mm or 1 fibre-optic cable with Øa 12 - 16 mm; for drill holes: ID 30 mm; For wall thicknesses starting from 200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Flange and punching pin: ABS; Ball insert: EPDM; Sealing tape: butyl; Corrugated pipe: PE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 exposure class DIN 18533: W1-E and W2.1-E;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1.0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Universal building entry with injection system for drill holes in the most common types of wall; Enables horizontal or oblique installation up to a 45° angle; Low-impact sealing of fibre optic cables by means of sealing lips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GFH30 PRO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Fibre optic building entry</dc:title>
  <dc:description/>
  <dc:subject/>
  <cp:keywords/>
  <cp:category/>
  <cp:lastModifiedBy/>
  <dcterms:created xsi:type="dcterms:W3CDTF">2024-07-16T09:39:40+02:00</dcterms:created>
  <dcterms:modified xsi:type="dcterms:W3CDTF">2024-07-16T09:39:40+02:00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