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Multi-line basic insert, arranged side by side</w:t>
      </w:r>
    </w:p>
    <w:p>
      <w:pPr/>
      <w:r>
        <w:rPr/>
        <w:t xml:space="preserve">For buildings without a basement</w:t>
      </w:r>
    </w:p>
    <w:p>
      <w:pPr/>
      <w:r>
        <w:rPr/>
        <w:t xml:space="preserve">For the feeding in and sealing of supply lines (power, water, telecommunications or gas) through the base slab. The two supply lines are arranged side by side.</w:t>
      </w:r>
    </w:p>
    <w:p/>
    <w:p>
      <w:pPr/>
      <w:r>
        <w:rPr/>
        <w:t xml:space="preserve">Dimensions: Width: 216 mm; Length: 337 mm; Height: 270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sleeve frame parts: ABS; Installation fixture: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Variable height adaptation to the finished floor level; easy integration of the vapour barrier using the adhesive ribbon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Basic FUBO SR2 EBT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Technical drawings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Maße MSH Basic FUBO SR2 (.PDF)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Ctrl + click on the link to open in your browser 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1022/3/BEMA_UNG_FUBO_SR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Multi-line basic insert, arranged side by side</dc:title>
  <dc:description/>
  <dc:subject/>
  <cp:keywords/>
  <cp:category/>
  <cp:lastModifiedBy/>
  <dcterms:created xsi:type="dcterms:W3CDTF">2024-07-16T09:32:05+02:00</dcterms:created>
  <dcterms:modified xsi:type="dcterms:W3CDTF">2024-07-16T09:32:05+02:00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