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Zwei-Ebenen-Fest-/Losflansch</w:t>
      </w:r>
    </w:p>
    <w:p>
      <w:pPr/>
      <w:r>
        <w:rPr/>
        <w:t xml:space="preserve">zum Einbetonieren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2FLFE DIN18531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Zwei-Ebenen-Fest-/Losflansch-Futterrohr zum Einbetonieren auf gedämmten Flachdächern mit zwei Dichtungsbahnen nach DIN 18531.</w:t>
      </w:r>
    </w:p>
    <w:p/>
    <w:p>
      <w:pPr/>
      <w:r>
        <w:rPr/>
        <w:t xml:space="preserve">Maße: Konstruktion entspr. DIN 18531 beinhaltet: DIN 18531 (Dach), DIN 18532 (befahrbare Verkehrsflächen), DIN 18534 (Innenräume), DIN 18535 (Behälter).; Standard-Festflansch Øa entspricht dem jeweiligen Futterrohr Øi + ca. 150 mm (bei einem Durchgang)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Edelstahl V2A (AISI 304L) oder V4A (AISI 316L)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Zwei-Ebenen-Fest-/Losflansch</dc:title>
  <dc:description/>
  <dc:subject/>
  <cp:keywords/>
  <cp:category/>
  <cp:lastModifiedBy/>
  <dcterms:created xsi:type="dcterms:W3CDTF">2026-04-24T20:01:11+02:00</dcterms:created>
  <dcterms:modified xsi:type="dcterms:W3CDTF">2026-04-24T20:01:11+02:00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