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Föld feletti házbevezetés</w:t>
      </w:r>
    </w:p>
    <w:p>
      <w:pPr/>
      <w:r>
        <w:rPr/>
        <w:t xml:space="preserve">7–12 mm-es üvegszálas üres csövekhez</w:t>
      </w:r>
    </w:p>
    <w:p>
      <w:pPr/>
      <w:r>
        <w:rPr/>
        <w:t xml:space="preserve">Tulajdonságok: univerzális bevezetés a leggyakoribb faltípusokban lévő furatokhoz. Möjliggör vågrät eller lutande inbyggnad upp till 45° lutning. Üvegszálas kábelek kíméletes tömítése a tömítőpasztának köszönhetően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Falzáró elem: „lángálló” polikarbonát; Csavarok: V2A (AISI 304L) nemesacél</w:t>
      </w:r>
    </w:p>
    <w:p/>
    <w:p>
      <w:pPr/>
      <w:r>
        <w:rPr/>
        <w:t xml:space="preserve">a következő átmérőjű haszonvezetékekhez használható Ø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Föld feletti házbevezetés</dc:title>
  <dc:description/>
  <dc:subject/>
  <cp:keywords/>
  <cp:category/>
  <cp:lastModifiedBy/>
  <dcterms:created xsi:type="dcterms:W3CDTF">2024-04-20T04:28:47+02:00</dcterms:created>
  <dcterms:modified xsi:type="dcterms:W3CDTF">2024-04-20T04:28:47+02:00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