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MIS házbevezetés</w:t>
      </w:r>
    </w:p>
    <w:p>
      <w:pPr/>
      <w:r>
        <w:rPr/>
        <w:t xml:space="preserve">membráninjekciós rendszerrel</w:t>
      </w:r>
    </w:p>
    <w:p>
      <w:pPr/>
      <w:r>
        <w:rPr/>
        <w:t xml:space="preserve"/>
      </w:r>
    </w:p>
    <w:p/>
    <w:p>
      <w:pPr/>
      <w:r>
        <w:rPr/>
        <w:t xml:space="preserve">Méretek: a következő belső Ø-jű magfuratokhoz: 99 - 103 mm; a következő falvastagságokhoz: 240-tól 600 mm-ig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karima, falzáró rozetta, membrántömlő: EPDM; Gyantabetöltő tömlő: PE; Gyorsfeszítő szerkezet: ABS; Szigetelőszalag: butil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1. igénybevételi osztály; Vízzáró beton, 2. igénybevételi osztály;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 1,0 bar nyomásig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Tesztek/szabványok: DVGW VP 601</w:t>
      </w:r>
    </w:p>
    <w:p/>
    <w:p>
      <w:pPr/>
      <w:r>
        <w:rPr/>
        <w:t xml:space="preserve">Kábelek/haszoncsövek száma összesen: 1</w:t>
      </w:r>
    </w:p>
    <w:p>
      <w:pPr/>
      <w:r>
        <w:rPr/>
        <w:t xml:space="preserve">Kábelek/haszoncsövek száma: 1</w:t>
      </w:r>
    </w:p>
    <w:p>
      <w:pPr/>
      <w:r>
        <w:rPr/>
        <w:t xml:space="preserve">a következő átmérőjű haszonvezetékekhez használható Ø (mm): 58 - 64</w:t>
      </w:r>
    </w:p>
    <w:p>
      <w:pPr/>
      <w:r>
        <w:rPr/>
        <w:t xml:space="preserve">Falvastagság (mm): 240 - 600</w:t>
      </w:r>
    </w:p>
    <w:p>
      <w:pPr/>
      <w:r>
        <w:rPr/>
        <w:t xml:space="preserve">Csomagolási egység: 6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Univerzális bevezetés membráninjekciós rendszerrel a leggyakoribb faltípusokban lévő furatokhoz; szabályozott gyantaelvezetés a bemetszett membrántömlőnek köszönhetően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MIS100D 1x58-64 Gas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3030300100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4052487220224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MIS házbevezetés</dc:title>
  <dc:description/>
  <dc:subject/>
  <cp:keywords/>
  <cp:category/>
  <cp:lastModifiedBy/>
  <dcterms:created xsi:type="dcterms:W3CDTF">2024-04-20T00:49:54+02:00</dcterms:created>
  <dcterms:modified xsi:type="dcterms:W3CDTF">2024-04-20T00:49:54+02:00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