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Sistema de inyección en membrana</w:t>
      </w:r>
    </w:p>
    <w:p>
      <w:pPr/>
      <w:r>
        <w:rPr/>
        <w:t xml:space="preserve">para edificios con sótano</w:t>
      </w:r>
    </w:p>
    <w:p>
      <w:pPr/>
      <w:r>
        <w:rPr/>
        <w:t xml:space="preserve">Building entry installed from the inside of the building for trenchless building connection. Can also be used for uncontrolled drilling rockets in conjunction with driving pipes OD 63 mm.</w:t>
      </w:r>
    </w:p>
    <w:p/>
    <w:p>
      <w:pPr/>
      <w:r>
        <w:rPr/>
        <w:t xml:space="preserve">Dimensiones: para taladros de núcleo: Øi 99 - 103 mm; para espesores de pared: desde 240 hasta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 frontal: Poliamida reforzada con fibra de vidrio; Goma sellante, brida, inserto de sellado y contrasoporte: EPDM; Tubería: PVC-U; Tornillos y arandelas: Acero inoxidable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>
      <w:pPr/>
      <w:r>
        <w:rPr/>
        <w:t xml:space="preserve">Espesor de pared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sin trabajos de excavación en el solar; Entrada de edificios universal con sistema de inyección en membrana para aperturas en los tipos de pared convencionales; control de la penetración de la resina gracias a la manguera membranosa ranurada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Sistema de inyección en membrana</dc:title>
  <dc:description/>
  <dc:subject/>
  <cp:keywords/>
  <cp:category/>
  <cp:lastModifiedBy/>
  <dcterms:created xsi:type="dcterms:W3CDTF">2024-04-26T15:27:17+02:00</dcterms:created>
  <dcterms:modified xsi:type="dcterms:W3CDTF">2024-04-26T15:27:17+02:00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