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Buisaansluitingsmanchet</w:t>
      </w:r>
    </w:p>
    <w:p>
      <w:pPr/>
      <w:r>
        <w:rPr/>
        <w:t xml:space="preserve">voor het aansluiten van gladde trekbuizen</w:t>
      </w:r>
    </w:p>
    <w:p>
      <w:pPr/>
      <w:r>
        <w:rPr/>
        <w:t xml:space="preserve">Mechanisch stabiele en elastische manchet voor de overgang van de Hateflex-spiraalslang 14090 naar gladde trekbuizen met ∅a 75 mm of 90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KES90 MA70-90/90-110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2225814000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4052487061414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Buisaansluitingsmanchet</dc:title>
  <dc:description/>
  <dc:subject/>
  <cp:keywords/>
  <cp:category/>
  <cp:lastModifiedBy/>
  <dcterms:created xsi:type="dcterms:W3CDTF">2024-04-26T13:28:54+02:00</dcterms:created>
  <dcterms:modified xsi:type="dcterms:W3CDTF">2024-04-26T13:28:54+02:00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