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Overgangsmanchet</w:t>
      </w:r>
    </w:p>
    <w:p>
      <w:pPr/>
      <w:r>
        <w:rPr/>
        <w:t xml:space="preserve">voor het aansluiten van gladde trekbuizen</w:t>
      </w:r>
    </w:p>
    <w:p>
      <w:pPr/>
      <w:r>
        <w:rPr/>
        <w:t xml:space="preserve">Mechanisch stabiele en elastische manchet UMS 75-90/102-125 voor de overgang van de Hateflex-spiraalslang 14078 naar een Hateflex-spiraalslang 14090, 14110 dan wel naar gladde mantelbuizen met ∅a 110 mm of ∅a 125 mm.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Manchet: EPDM; Spanbanden: roestvrijstaal V2A (AISI 304L)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Kenmerken: gas- en waterdichte manchettechniek, ook geschikt voor overbouwde zones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UMS75-90/102-125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2128020110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4052487159685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Overgangsmanchet</dc:title>
  <dc:description/>
  <dc:subject/>
  <cp:keywords/>
  <cp:category/>
  <cp:lastModifiedBy/>
  <dcterms:created xsi:type="dcterms:W3CDTF">2024-04-26T22:47:01+02:00</dcterms:created>
  <dcterms:modified xsi:type="dcterms:W3CDTF">2024-04-26T22:47:01+02:00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