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Buisaansluitingsmanchet</w:t>
      </w:r>
    </w:p>
    <w:p>
      <w:pPr/>
      <w:r>
        <w:rPr/>
        <w:t xml:space="preserve">voor het aansluiten van gladde trekbuizen</w:t>
      </w:r>
    </w:p>
    <w:p>
      <w:pPr/>
      <w:r>
        <w:rPr/>
        <w:t xml:space="preserve">Mechanisch stabiele en elastische manchet voor de overgang van de Hateflex-spiraalslang 14150 naar gladde mantelbuizen met ∅a 110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W4; Adapterring: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KES150 MA160-172/140-163 AR111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2125814000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Buisaansluitingsmanchet</dc:title>
  <dc:description/>
  <dc:subject/>
  <cp:keywords/>
  <cp:category/>
  <cp:lastModifiedBy/>
  <dcterms:created xsi:type="dcterms:W3CDTF">2024-04-25T23:17:38+02:00</dcterms:created>
  <dcterms:modified xsi:type="dcterms:W3CDTF">2024-04-25T23:17:38+02:00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