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Componente en bruto</w:t>
      </w:r>
    </w:p>
    <w:p>
      <w:pPr/>
      <w:r>
        <w:rPr/>
        <w:t xml:space="preserve">para edificios sin sótano subterráneo</w:t>
      </w:r>
    </w:p>
    <w:p>
      <w:pPr/>
      <w:r>
        <w:rPr/>
        <w:t xml:space="preserve">Componente y dispositivo de ajuste para el hormigonado de losas en edificios sin sótano subterráneo. Para una entrada compacta de gas o agua DN 50. La combinación de entradas de edificios HEK y la manguera espiral flexible no se incluyen en el alcance de suministro.</w:t>
      </w:r>
    </w:p>
    <w:p/>
    <w:p>
      <w:pPr/>
      <w:r>
        <w:rPr/>
        <w:t xml:space="preserve">Dimensiones: Componente de Øi: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Componente de tubería: PVC-U; Manguito: EPDM; Brida de barrera de agua: EPDM; Dispositivo de ajuste: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Artículo: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ajuste variable de altura del nivel del piso terminado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ESG100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1990501000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4052487054300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Componente en bruto</dc:title>
  <dc:description/>
  <dc:subject/>
  <cp:keywords/>
  <cp:category/>
  <cp:lastModifiedBy/>
  <dcterms:created xsi:type="dcterms:W3CDTF">2024-04-26T08:10:18+02:00</dcterms:created>
  <dcterms:modified xsi:type="dcterms:W3CDTF">2024-04-26T08:10:18+02:00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