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Combinaciones de entradas de edificio para agua</w:t>
      </w:r>
    </w:p>
    <w:p>
      <w:pPr/>
      <w:r>
        <w:rPr/>
        <w:t xml:space="preserve">para edificios con sótano subterráneo</w:t>
      </w:r>
    </w:p>
    <w:p>
      <w:pPr/>
      <w:r>
        <w:rPr/>
        <w:t xml:space="preserve">Combinación de entradas de edificio para gases de la marca Schuck DN 50 para uso en taladros de núcleo o casquillos de pared ∅i 100 mm.</w:t>
      </w:r>
    </w:p>
    <w:p/>
    <w:p>
      <w:pPr/>
      <w:r>
        <w:rPr/>
        <w:t xml:space="preserve">Dimensiones: Taladro de núcleo/casquillo de pared Øi: 100 mm; Espesor de pared: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Inserto de sellado: Acero inoxidable V2A (AISI 304 L); Goma: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2; Hormigón a prueba de agua con clase de estrés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HS W-PE-AG-90°-ARO DN50 R2 BL1000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1990500145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Combinaciones de entradas de edificio para agua</dc:title>
  <dc:description/>
  <dc:subject/>
  <cp:keywords/>
  <cp:category/>
  <cp:lastModifiedBy/>
  <dcterms:created xsi:type="dcterms:W3CDTF">2024-04-18T13:53:00+02:00</dcterms:created>
  <dcterms:modified xsi:type="dcterms:W3CDTF">2024-04-18T13:53:00+02:00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