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Wersja do domów jednorodzinnych ZAPPO</w:t>
      </w:r>
    </w:p>
    <w:p>
      <w:pPr/>
      <w:r>
        <w:rPr/>
        <w:t xml:space="preserve">do budynków z piwnicą</w:t>
      </w:r>
    </w:p>
    <w:p>
      <w:pPr/>
      <w:r>
        <w:rPr/>
        <w:t xml:space="preserve">Wpust do budynków do montażu od wewnętrznej strony budynku do bezrowkowego przyłącza. Możliwość stosowania w połączeniu z niesterowanymi przeciskami pneumatycznymi i rurami przeciskowymi o ∅zewn. 75 mm.</w:t>
      </w:r>
    </w:p>
    <w:p/>
    <w:p>
      <w:pPr/>
      <w:r>
        <w:rPr/>
        <w:t xml:space="preserve">Wymiary: przewiert: Øwewn. 99 - 103 mm; rura przeciskowa: Øzewn. 75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przednia płyta i kołnierze zabezpieczające przed obróceniem:; guma: EPDM; tylny pierścień zaciskowy i zewnętrzny element uszczelniający: stal nierdzewna V2A (AISI 304L); pierścień centrujący: stal nierdzewna V2A (AISI 304L); śruby: stal nierdzewna V2A (AISI 304L); śruby: stal nierdzewna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Obciążenia: Beton wodoszczelny, klasa eksploatacyjna 1; Beton wodoszczelny, klasa eksploatacyjna 2; DIN 18533 W1.1-E; DIN 18533 W1.2-E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Szczelność: gazo- i wodoszczelność do 1,0 bara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Testy/normy: DVGW VP 601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Opis: bez wykonywania robót ziemnych; ciągły, gazoszczelny system rur pustych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ESH PolySafe VT75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1910010000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4052487165303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Wersja do domów jednorodzinnych ZAPPO</dc:title>
  <dc:description/>
  <dc:subject/>
  <cp:keywords/>
  <cp:category/>
  <cp:lastModifiedBy/>
  <dcterms:created xsi:type="dcterms:W3CDTF">2024-04-24T05:21:08+02:00</dcterms:created>
  <dcterms:modified xsi:type="dcterms:W3CDTF">2024-04-24T05:21:08+02:00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