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Vloerinvoer pijpbocht 160</w:t>
      </w:r>
    </w:p>
    <w:p>
      <w:pPr/>
      <w:r>
        <w:rPr/>
        <w:t xml:space="preserve">voor stadsverwarmingsleidingen</w:t>
      </w:r>
    </w:p>
    <w:p>
      <w:pPr/>
      <w:r>
        <w:rPr/>
        <w:t xml:space="preserve">Voor het invoeren en afdichten van stadsverwarmingsleidingen door de vloerplaat. Positionering met los leverbaar klemmensysteem op de opstelinrichting voor stadsverwarming, gecombineerd met het spiraalslangsysteem en afdichtelementen.</w:t>
      </w:r>
    </w:p>
    <w:p/>
    <w:p>
      <w:pPr/>
      <w:r>
        <w:rPr/>
        <w:t xml:space="preserve">Afmetingen: Radius buisbocht: 1.000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1; Waterdicht beton belastingsklasse 2; DIN 18533 W1.1-E;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Vloerinvoer pijpbocht 160</dc:title>
  <dc:description/>
  <dc:subject/>
  <cp:keywords/>
  <cp:category/>
  <cp:lastModifiedBy/>
  <dcterms:created xsi:type="dcterms:W3CDTF">2024-04-25T07:22:14+02:00</dcterms:created>
  <dcterms:modified xsi:type="dcterms:W3CDTF">2024-04-25T07:22:14+02:00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