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za brtvljenje vodova za vodu</w:t>
      </w:r>
    </w:p>
    <w:p>
      <w:pPr/>
      <w:r>
        <w:rPr/>
        <w:t xml:space="preserve">za jednostruke i višestruke kućne uvode</w:t>
      </w:r>
    </w:p>
    <w:p>
      <w:pPr/>
      <w:r>
        <w:rPr/>
        <w:t xml:space="preserve"/>
      </w:r>
    </w:p>
    <w:p/>
    <w:p>
      <w:pPr/>
      <w:r>
        <w:rPr/>
        <w:t xml:space="preserve">Dimenzije: Područje primjene: 1 vodovodni vod s Øa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Poliamid ojačan staklenim vlaknima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SDW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1560000594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4052487173483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Element za brtvljenje vodova za vodu</dc:title>
  <dc:description/>
  <dc:subject/>
  <cp:keywords/>
  <cp:category/>
  <cp:lastModifiedBy/>
  <dcterms:created xsi:type="dcterms:W3CDTF">2024-04-18T00:08:17+02:00</dcterms:created>
  <dcterms:modified xsi:type="dcterms:W3CDTF">2024-04-18T00:08:17+02:00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