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Élément d'étanchéité universel pour électricité/communications</w:t>
      </w:r>
    </w:p>
    <w:p>
      <w:pPr/>
      <w:r>
        <w:rPr/>
        <w:t xml:space="preserve">pour entrées de bâtiment monolignes et multilignes</w:t>
      </w:r>
    </w:p>
    <w:p>
      <w:pPr/>
      <w:r>
        <w:rPr/>
        <w:t xml:space="preserve"/>
      </w:r>
    </w:p>
    <w:p/>
    <w:p>
      <w:pPr/>
      <w:r>
        <w:rPr/>
        <w:t xml:space="preserve">Dimensions: Domaine d'application : 1 câble de Øa 26 - 30 mm, 3 câbles de Øa 5 - 8 mm, 2 câbles de Øa 7 - 13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Polyamide renforcé de fibres de verre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Avec découpes segmentées pour un domaine d'application étendu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SDEK 1x26-30+3x5-8+2x7-13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1560000514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4052487163064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Élément d'étanchéité universel pour électricité/communications</dc:title>
  <dc:description/>
  <dc:subject/>
  <cp:keywords/>
  <cp:category/>
  <cp:lastModifiedBy/>
  <dcterms:created xsi:type="dcterms:W3CDTF">2024-04-25T01:02:56+02:00</dcterms:created>
  <dcterms:modified xsi:type="dcterms:W3CDTF">2024-04-25T01:02:56+02:00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