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Élément d'étanchéité universel pour eau</w:t>
      </w:r>
    </w:p>
    <w:p>
      <w:pPr/>
      <w:r>
        <w:rPr/>
        <w:t xml:space="preserve">pour entrées de bâtiment monolignes et multilignes</w:t>
      </w:r>
    </w:p>
    <w:p>
      <w:pPr/>
      <w:r>
        <w:rPr/>
        <w:t xml:space="preserve"/>
      </w:r>
    </w:p>
    <w:p/>
    <w:p>
      <w:pPr/>
      <w:r>
        <w:rPr/>
        <w:t xml:space="preserve">Dimensions: Domaine d'application : 1 conduite d'eau de Øa 32, 40 ou 50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Polyamide renforcé de fibres de verre / 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Avec découpes segmentées pour un domaine d'application étendu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SDW 1x32/40/50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1560000504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4052487162937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Élément d'étanchéité universel pour eau</dc:title>
  <dc:description/>
  <dc:subject/>
  <cp:keywords/>
  <cp:category/>
  <cp:lastModifiedBy/>
  <dcterms:created xsi:type="dcterms:W3CDTF">2024-04-26T08:27:44+02:00</dcterms:created>
  <dcterms:modified xsi:type="dcterms:W3CDTF">2024-04-26T08:27:44+02:00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