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内部密封的基本型号</w:t>
      </w:r>
    </w:p>
    <w:p>
      <w:pPr/>
      <w:r>
        <w:rPr/>
        <w:t xml:space="preserve">用于带地下室的建筑物</w:t>
      </w:r>
    </w:p>
    <w:p>
      <w:pPr/>
      <w:r>
        <w:rPr/>
        <w:t xml:space="preserve">用于共同引入和密封所有种类的供应管线（电/水/电信/气）。 MSH PolySafe GV2作为基本模块，可与以下可单独购买的管路密封元件和模块组合使用： MSH PolySafe密封元件套装（管路密封元件） 模块3：隔热片，用于安装在现有的外围隔热层中 模块6：外部密封件，密封宽度90毫米，用于没有额外建筑物密封结构的双层空心墙 模块6.2：外部密封件，带有外部法兰，用于连接现有的双层空心墙建筑物密封结构 可进一步扩展。</w:t>
      </w:r>
    </w:p>
    <w:p/>
    <w:p>
      <w:pPr/>
      <w:r>
        <w:rPr/>
        <w:t xml:space="preserve">尺寸: 密封宽度：60mm; 适合墙体开孔/穿墙套管Øi：199 - 203mm; 最大壁厚：500mm（可按要求提供特殊长度）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内部密封：玻璃纤维增强聚酰胺/EPDM; 套管：PVC; 螺钉：不锈钢V2A（AISI 304L）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防渗混凝土防水等级1; 防渗混凝土防水等级2; 水影响等级DIN 18533 W1.1-E; 水影响等级DIN 18533 W1.2-E; 水影响等级DIN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气密和水密性最高1.0巴; 氡气密封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检验/标准: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内置密封性检查装置，可检查在双层空心墙上安装正确; 带水平仪的前端板，确保安装正确; 装有检查开口，可视觉检查安装情况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内部密封的基本型号</dc:title>
  <dc:description/>
  <dc:subject/>
  <cp:keywords/>
  <cp:category/>
  <cp:lastModifiedBy/>
  <dcterms:created xsi:type="dcterms:W3CDTF">2024-04-17T12:20:22+02:00</dcterms:created>
  <dcterms:modified xsi:type="dcterms:W3CDTF">2024-04-17T12:20:22+02:00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