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Grundvariante mit Innenabdichtung</w:t>
      </w:r>
    </w:p>
    <w:p>
      <w:pPr/>
      <w:r>
        <w:rPr/>
        <w:t xml:space="preserve">für Gebäude mit Keller</w:t>
      </w:r>
    </w:p>
    <w:p>
      <w:pPr/>
      <w:r>
        <w:rPr/>
        <w:t xml:space="preserve">Zum gemeinsamen Einführen und Abdichten aller Versorgungsleitungen (Strom/Wasser/Telekommunikation/Gas). Die MSH PolySafe GV1 wird als Grundmodul mit folgenden, separat erhältlichen Spartendichtelementen, Modulen oder dem MSH PolySafe Futterrohr ergänzt: MSH PolySafe Dichtelemente-Set (Spartendichtelemente) Modul 1: Außendichtelement für WU-Betonwände ohne zusätzliche Gebäudeabdichtung Modul 1.2: Außendichtelement mit Außenflansch zur Einbindung vorhandener Gebäudeabdichtungen Modul 3: Dämmscheibe zum Einsetzen in vorhandene Perimeterdämmung Modul 6: Außendichtelement mit Dichtbreite 90 mm für Doppel-Elementwände ohne zusätzliche Gebäudeabdichtung Modul 6.2: Außendichtelement mit Außenflansch zur Einbindung vorhandener Gebäudeabdichtungen bei Doppel-Elementwänden MSH PolySafe Futterrohr: Futterrohr mit integrierter Außendichtung, kein zusätzliches Modul nötig Weitere Ergänzungen sind möglich.</w:t>
      </w:r>
    </w:p>
    <w:p/>
    <w:p>
      <w:pPr/>
      <w:r>
        <w:rPr/>
        <w:t xml:space="preserve">Maße: Dichtbreite: 30 mm; passend für Kernbohrung/Futterrohr Øi: 199 - 203 mm; maximale Wandstärke: 500 mm (Sonderlänge auf Anfrage)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Innenabdichtung: glasfaserverstärktes Polyamid/EPDM; Mantelrohre: PVC; Schrauben: Edelstahl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1; WU-Beton Beanspruchungsklasse 2; Wassereinwirkungsklasse DIN 18533 W1.1-E; Wassereinwirkungsklasse DIN 18533 W1.2-E; Wassereinwirkungsklasse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1,0 bar; radonsicher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Prüfungen/Normen: DVGW VP 601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prüfbare Sicherheit durch eingebaute Dichtheitsprüfvorrichtung; sicherer Einbau durch Frontplatte mit integrierter Wasserwaage; optische Montagesicherheit durch eingebaute Kontrollöffnungen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MSH PolySafe GV1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1560000000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4052487162678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Grundvariante mit Innenabdichtung</dc:title>
  <dc:description/>
  <dc:subject/>
  <cp:keywords/>
  <cp:category/>
  <cp:lastModifiedBy/>
  <dcterms:created xsi:type="dcterms:W3CDTF">2024-04-26T18:17:51+02:00</dcterms:created>
  <dcterms:modified xsi:type="dcterms:W3CDTF">2024-04-26T18:17:51+02:00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