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Basiscomponent - ronde uitvoering</w:t>
      </w:r>
    </w:p>
    <w:p>
      <w:pPr/>
      <w:r>
        <w:rPr/>
        <w:t xml:space="preserve">voor gebouwen zonder kelder</w:t>
      </w:r>
    </w:p>
    <w:p>
      <w:pPr/>
      <w:r>
        <w:rPr/>
        <w:t xml:space="preserve">Voor het gemeenschappelijk invoeren en afdichten van alle nutsleidingen (stroom, water, telecommunicatie, gas). Ronde uitvoering.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Doorvoerbuis: ABS; Plaatsingsframe: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Keuringen/normen: DVGW VP 601</w:t>
      </w:r>
    </w:p>
    <w:p/>
    <w:p>
      <w:pPr/>
      <w:r>
        <w:rPr/>
        <w:t xml:space="preserve">Segmenten naast elkaar: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variabele aanpassing aan de hoogte van de opgeleverde vloer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1550100048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4052487030366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Basiscomponent - ronde uitvoering</dc:title>
  <dc:description/>
  <dc:subject/>
  <cp:keywords/>
  <cp:category/>
  <cp:lastModifiedBy/>
  <dcterms:created xsi:type="dcterms:W3CDTF">2024-04-19T14:27:26+02:00</dcterms:created>
  <dcterms:modified xsi:type="dcterms:W3CDTF">2024-04-19T14:27:26+02:00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