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Wielosekcyjny element surowy układu rzędów</w:t>
      </w:r>
    </w:p>
    <w:p>
      <w:pPr/>
      <w:r>
        <w:rPr/>
        <w:t xml:space="preserve">do budynków bez piwnic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MSH Basic FUBO SR4 EBT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1551008600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4052487204804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wspólnego wprowadzenia i uszczelniania przewodów zasilających (prąd, woda, telekomunikacja, gaz). Rozmieszczenie czterech sekcji w rzędzie.</w:t>
      </w:r>
    </w:p>
    <w:p/>
    <w:p>
      <w:pPr/>
      <w:r>
        <w:rPr/>
        <w:t xml:space="preserve">Wymiary: Szerokość: 116 mm; długość: 479 mm; Wysokość: 270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Segmenty ramowe rury okładzinowej: ABS; Urządzenie do ustawiania: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 do 1,0 bara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Testy/normy: DVGW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Zmienne dostosowanie wysokości do poziomu gotowej podłogi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Wielosekcyjny element surowy układu rzędów</dc:title>
  <dc:description/>
  <dc:subject/>
  <cp:keywords/>
  <cp:category/>
  <cp:lastModifiedBy/>
  <dcterms:created xsi:type="dcterms:W3CDTF">2025-05-13T08:33:43+02:00</dcterms:created>
  <dcterms:modified xsi:type="dcterms:W3CDTF">2025-05-13T08:33:43+02:00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